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B1F" w:rsidRDefault="007D3B1F" w:rsidP="007D3B1F">
      <w:pPr>
        <w:pStyle w:val="NormalWeb"/>
        <w:spacing w:before="0" w:beforeAutospacing="0" w:after="0" w:afterAutospacing="0"/>
        <w:jc w:val="center"/>
        <w:rPr>
          <w:rFonts w:ascii="Arial" w:hAnsi="Arial" w:cs="Arial"/>
          <w:b/>
          <w:bCs/>
          <w:sz w:val="21"/>
          <w:szCs w:val="21"/>
        </w:rPr>
      </w:pPr>
      <w:bookmarkStart w:id="0" w:name="CAPITULOI"/>
      <w:r>
        <w:rPr>
          <w:rFonts w:ascii="Arial" w:hAnsi="Arial" w:cs="Arial"/>
          <w:b/>
          <w:bCs/>
          <w:sz w:val="21"/>
          <w:szCs w:val="21"/>
        </w:rPr>
        <w:t>CAPITULO I</w:t>
      </w:r>
      <w:bookmarkEnd w:id="0"/>
    </w:p>
    <w:p w:rsidR="007D3B1F" w:rsidRDefault="007D3B1F" w:rsidP="007D3B1F">
      <w:pPr>
        <w:pStyle w:val="NormalWeb"/>
        <w:spacing w:before="0" w:beforeAutospacing="0" w:after="0" w:afterAutospacing="0"/>
        <w:jc w:val="center"/>
        <w:rPr>
          <w:rFonts w:ascii="Arial" w:hAnsi="Arial" w:cs="Arial"/>
          <w:b/>
          <w:bCs/>
          <w:sz w:val="21"/>
          <w:szCs w:val="21"/>
        </w:rPr>
      </w:pPr>
      <w:r>
        <w:rPr>
          <w:rFonts w:ascii="Arial" w:hAnsi="Arial" w:cs="Arial"/>
          <w:b/>
          <w:bCs/>
          <w:sz w:val="21"/>
          <w:szCs w:val="21"/>
        </w:rPr>
        <w:t>GENERALIDADES</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b/>
          <w:bCs/>
          <w:sz w:val="21"/>
          <w:szCs w:val="21"/>
        </w:rPr>
        <w:t>Artículo 1º.-</w:t>
      </w:r>
      <w:r>
        <w:rPr>
          <w:rFonts w:ascii="Arial" w:hAnsi="Arial" w:cs="Arial"/>
          <w:sz w:val="21"/>
          <w:szCs w:val="21"/>
        </w:rPr>
        <w:t xml:space="preserve"> </w:t>
      </w:r>
      <w:r>
        <w:rPr>
          <w:rFonts w:ascii="Arial" w:hAnsi="Arial" w:cs="Arial"/>
          <w:b/>
          <w:bCs/>
          <w:sz w:val="21"/>
          <w:szCs w:val="21"/>
        </w:rPr>
        <w:t>Contenido</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La presente norma contiene las disposiciones reglamentarias para la aplicación de la Ley Nº 28008, Ley de los Delitos Aduaneros.</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b/>
          <w:bCs/>
          <w:sz w:val="21"/>
          <w:szCs w:val="21"/>
        </w:rPr>
        <w:t>Artículo 2º.-</w:t>
      </w:r>
      <w:r>
        <w:rPr>
          <w:rFonts w:ascii="Arial" w:hAnsi="Arial" w:cs="Arial"/>
          <w:sz w:val="21"/>
          <w:szCs w:val="21"/>
        </w:rPr>
        <w:t xml:space="preserve"> </w:t>
      </w:r>
      <w:r>
        <w:rPr>
          <w:rFonts w:ascii="Arial" w:hAnsi="Arial" w:cs="Arial"/>
          <w:b/>
          <w:bCs/>
          <w:sz w:val="21"/>
          <w:szCs w:val="21"/>
        </w:rPr>
        <w:t>Precisión a la Ley y el Reglamento</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Toda mención que se haga en el presente Reglamento al término "Ley" deberá entenderse referida a la Ley Nº 28008. Asimismo, toda mención que se haga a un artículo sin mencionar la norma a la que pertenece, deberá entenderse referida al presente Reglamento.</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b/>
          <w:bCs/>
          <w:sz w:val="21"/>
          <w:szCs w:val="21"/>
        </w:rPr>
        <w:t>Artículo 3º.- Facultades de la Administración Aduanera</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xml:space="preserve">Potestad Aduanera es la facultad que tiene SUNAT para aplicar la normas legales y reglamentarias que regulan las actividades aduaneras y el paso, ingreso o salida de personas, mercancías y </w:t>
      </w:r>
      <w:proofErr w:type="gramStart"/>
      <w:r>
        <w:rPr>
          <w:rFonts w:ascii="Arial" w:hAnsi="Arial" w:cs="Arial"/>
          <w:sz w:val="21"/>
          <w:szCs w:val="21"/>
        </w:rPr>
        <w:t>medios transporte</w:t>
      </w:r>
      <w:proofErr w:type="gramEnd"/>
      <w:r>
        <w:rPr>
          <w:rFonts w:ascii="Arial" w:hAnsi="Arial" w:cs="Arial"/>
          <w:sz w:val="21"/>
          <w:szCs w:val="21"/>
        </w:rPr>
        <w:t xml:space="preserve"> por el territorio aduanero, así como exigir su cumplimiento.</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SUNAT es el organismo del Estado encargado de la administración, recaudación, control y fiscalización del tráfico internacional de mercancías, medios de transporte y personas, dentro del territorio aduanero</w:t>
      </w:r>
    </w:p>
    <w:p w:rsidR="007D3B1F" w:rsidRDefault="007D3B1F" w:rsidP="007D3B1F">
      <w:pPr>
        <w:pStyle w:val="NormalWeb"/>
        <w:spacing w:before="0" w:beforeAutospacing="0" w:after="0" w:afterAutospacing="0"/>
        <w:jc w:val="center"/>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jc w:val="center"/>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jc w:val="center"/>
        <w:rPr>
          <w:rFonts w:ascii="Arial" w:hAnsi="Arial" w:cs="Arial"/>
          <w:b/>
          <w:bCs/>
          <w:sz w:val="21"/>
          <w:szCs w:val="21"/>
        </w:rPr>
      </w:pPr>
      <w:bookmarkStart w:id="1" w:name="CAPITULOII"/>
      <w:r>
        <w:rPr>
          <w:rFonts w:ascii="Arial" w:hAnsi="Arial" w:cs="Arial"/>
          <w:b/>
          <w:bCs/>
          <w:sz w:val="21"/>
          <w:szCs w:val="21"/>
        </w:rPr>
        <w:t>CAPITULO II</w:t>
      </w:r>
      <w:bookmarkEnd w:id="1"/>
    </w:p>
    <w:p w:rsidR="007D3B1F" w:rsidRDefault="007D3B1F" w:rsidP="007D3B1F">
      <w:pPr>
        <w:pStyle w:val="NormalWeb"/>
        <w:spacing w:before="0" w:beforeAutospacing="0" w:after="0" w:afterAutospacing="0"/>
        <w:jc w:val="center"/>
        <w:rPr>
          <w:rFonts w:ascii="Arial" w:hAnsi="Arial" w:cs="Arial"/>
          <w:b/>
          <w:bCs/>
          <w:sz w:val="21"/>
          <w:szCs w:val="21"/>
        </w:rPr>
      </w:pPr>
      <w:r>
        <w:rPr>
          <w:rFonts w:ascii="Arial" w:hAnsi="Arial" w:cs="Arial"/>
          <w:b/>
          <w:bCs/>
          <w:sz w:val="21"/>
          <w:szCs w:val="21"/>
        </w:rPr>
        <w:t>INCAUTACION DE MERCANCIAS</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b/>
          <w:bCs/>
          <w:sz w:val="21"/>
          <w:szCs w:val="21"/>
        </w:rPr>
        <w:t>Artículo 4º.-</w:t>
      </w:r>
      <w:r>
        <w:rPr>
          <w:rFonts w:ascii="Arial" w:hAnsi="Arial" w:cs="Arial"/>
          <w:sz w:val="21"/>
          <w:szCs w:val="21"/>
        </w:rPr>
        <w:t xml:space="preserve"> </w:t>
      </w:r>
      <w:r>
        <w:rPr>
          <w:rFonts w:ascii="Arial" w:hAnsi="Arial" w:cs="Arial"/>
          <w:b/>
          <w:bCs/>
          <w:sz w:val="21"/>
          <w:szCs w:val="21"/>
        </w:rPr>
        <w:t>Incautación</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Cuando se realice la incautación de las mercancías, medios de transporte, bienes y efectos que constituyan objeto del delito sin presencia del Ministerio Publico, se debe poner el hecho en conocimiento del Fiscal Provincial Competente.</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Tratándose de la incautación de mercancías cuya exportación se encuentre prohibida o restringida, la Fiscalía de la Nación las pondrá a disposición de la entidad competente para su control, con conocimiento de la Administración Aduanera.</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b/>
          <w:bCs/>
          <w:sz w:val="21"/>
          <w:szCs w:val="21"/>
        </w:rPr>
        <w:t>Artículo 5º.-</w:t>
      </w:r>
      <w:r>
        <w:rPr>
          <w:rFonts w:ascii="Arial" w:hAnsi="Arial" w:cs="Arial"/>
          <w:sz w:val="21"/>
          <w:szCs w:val="21"/>
        </w:rPr>
        <w:t xml:space="preserve"> </w:t>
      </w:r>
      <w:r>
        <w:rPr>
          <w:rFonts w:ascii="Arial" w:hAnsi="Arial" w:cs="Arial"/>
          <w:b/>
          <w:bCs/>
          <w:sz w:val="21"/>
          <w:szCs w:val="21"/>
        </w:rPr>
        <w:t>Reconocimiento y avalúo</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Cuando la incautación hubiese sido efectuada por autoridades ajenas a la Administración Aduanera, las mercancías, medios de transporte, bienes y efectos personales que constituyan objeto del delito y/o los instrumentos utilizados para la comisión del mismo, deberán ser puestos a disposición de la Intendencia de Aduana que corresponda a la jurisdicción donde aquella se hubiese realizado, en un plazo que no deberá exceder de tres (03) días hábiles, contados a partir del día siguiente a aquél en el que se produjo la incautación, debiendo previamente informar de la incautación realizada a la Administración Aduanera dentro de las veinticuatro (24) horas de producida.</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Recibidas las mercancías por la Intendencia de Aduana, ésta deberá proceder de la siguiente manera:</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a) Si hubiere persona detenida por los delitos tipificados en la Ley, bajo su responsabilidad y en un plazo que no excederá de veinticuatro (24) horas, procederá a efectuar el reconocimiento físico y avalúo de lo incautado, cuyos resultados deberá comunicar de inmediato a la Policía Nacional del Perú, la cual los remitirá a la Fiscalía Provincial competente para que proceda a formular la denuncia correspondiente.</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lastRenderedPageBreak/>
        <w:t>Si por su naturaleza, por la cantidad o por la oportunidad de la intervención, lo incautado no pudiera ser valorado dentro del plazo señalado en el párrafo anterior, la Autoridad Aduanera dentro de las veinticuatro (24) horas comunicará este hecho a la Policía Nacional del Perú, la cual dispondrá que el detenido sea puesto a disposición de la Fiscalía Provincial competente, en un plazo que no excederá de las veinticuatro (24) horas de producida la detención, con el atestado policial correspondiente.</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Sin perjuicio de lo señalado en el párrafo anterior, la Autoridad Aduanera remitirá el informe correspondiente al reconocimiento físico y avalúo de lo incautado a la Fiscalía Provincial correspondiente, en un plazo que no excederá los tres (03) días hábiles, contados a partir del día siguiente a aquél en el que recibió la mercancía.</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b) En los casos en los que no hayan detenidos, la Autoridad Aduanera procederá a efectuar el reconocimiento físico y avalúo de lo incautado, debiendo remitir el informe correspondiente a la Policía Nacional del Perú dentro de un plazo que no excederá de los tres (03) días hábiles, contados a partir del día siguiente a aquél en el que recibió las mercancías.</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La remisión del informe de la Autoridad Aduanera, conteniendo el resultado del reconocimiento físico y avalúo de las mercancías incautadas, podrá llevarse a cabo por cualquier medio que permita la constatación de la recepción del mismo por la autoridad destinataria de éste.</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jc w:val="center"/>
        <w:rPr>
          <w:rFonts w:ascii="Arial" w:hAnsi="Arial" w:cs="Arial"/>
          <w:b/>
          <w:bCs/>
          <w:sz w:val="21"/>
          <w:szCs w:val="21"/>
        </w:rPr>
      </w:pPr>
      <w:bookmarkStart w:id="2" w:name="CAPITULOIII"/>
      <w:r>
        <w:rPr>
          <w:rFonts w:ascii="Arial" w:hAnsi="Arial" w:cs="Arial"/>
          <w:b/>
          <w:bCs/>
          <w:sz w:val="21"/>
          <w:szCs w:val="21"/>
        </w:rPr>
        <w:t>CAPITULO III</w:t>
      </w:r>
      <w:bookmarkEnd w:id="2"/>
    </w:p>
    <w:p w:rsidR="007D3B1F" w:rsidRDefault="007D3B1F" w:rsidP="007D3B1F">
      <w:pPr>
        <w:pStyle w:val="NormalWeb"/>
        <w:spacing w:before="0" w:beforeAutospacing="0" w:after="0" w:afterAutospacing="0"/>
        <w:jc w:val="center"/>
        <w:rPr>
          <w:rFonts w:ascii="Arial" w:hAnsi="Arial" w:cs="Arial"/>
          <w:b/>
          <w:bCs/>
          <w:sz w:val="21"/>
          <w:szCs w:val="21"/>
        </w:rPr>
      </w:pPr>
      <w:r>
        <w:rPr>
          <w:rFonts w:ascii="Arial" w:hAnsi="Arial" w:cs="Arial"/>
          <w:b/>
          <w:bCs/>
          <w:sz w:val="21"/>
          <w:szCs w:val="21"/>
        </w:rPr>
        <w:t>REGLAS PARA DETERMINAR EL VALOR DE MERCANCIAS</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Artículo 6º.- Reglas para establecer la valoración</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La determinación del valor de las mercancías a que se refiere el Artículo 16º de la Ley, se expresará en dólares de los Estados Unidos de América, de acuerdo a las siguientes reglas, aplicadas en forma sucesiva y excluyente:</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a) Mercancías referidas en el literal a) del Artículo 16º de la Ley:</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(i) El valor más alto de una mercancía idéntica o, en su defecto, similar a la que es objeto de avalúo, registrada en el Banco de Datos de la Administración Aduanera o en otras fuentes disponibles.</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w:t>
      </w:r>
      <w:proofErr w:type="spellStart"/>
      <w:r>
        <w:rPr>
          <w:rFonts w:ascii="Arial" w:hAnsi="Arial" w:cs="Arial"/>
          <w:sz w:val="21"/>
          <w:szCs w:val="21"/>
        </w:rPr>
        <w:t>ii</w:t>
      </w:r>
      <w:proofErr w:type="spellEnd"/>
      <w:r>
        <w:rPr>
          <w:rFonts w:ascii="Arial" w:hAnsi="Arial" w:cs="Arial"/>
          <w:sz w:val="21"/>
          <w:szCs w:val="21"/>
        </w:rPr>
        <w:t>) Valores en aduana mínimos determinados por la Administración Aduanera.</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w:t>
      </w:r>
      <w:proofErr w:type="spellStart"/>
      <w:r>
        <w:rPr>
          <w:rFonts w:ascii="Arial" w:hAnsi="Arial" w:cs="Arial"/>
          <w:sz w:val="21"/>
          <w:szCs w:val="21"/>
        </w:rPr>
        <w:t>iii</w:t>
      </w:r>
      <w:proofErr w:type="spellEnd"/>
      <w:r>
        <w:rPr>
          <w:rFonts w:ascii="Arial" w:hAnsi="Arial" w:cs="Arial"/>
          <w:sz w:val="21"/>
          <w:szCs w:val="21"/>
        </w:rPr>
        <w:t>) El precio más alto de venta al público minorista de una mercancía idéntica o similar comercializada en el mercado interno de la jurisdicción de la Intendencia de Aduana donde se incautó la mercancía, o de la Intendencia de Aduana más cercana.</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Tratándose del Delito de Defraudación de Rentas de Aduana, si la Administración Aduanera detecta la existencia de dos o más facturas, comprobantes de pago o contratos de venta sobre la misma transacción, podrá estimar el valor tomando el más alto consignado en los indicados documentos, siempre que dicho valor sea mayor o igual que el estimado en aplicación de las reglas previstas anteriormente.</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La determinación del valor final de las mercancías referidas en el literal a) del Artículo 16º de la Ley, deberá contener los gastos de flete y seguro pagados por el traslado de las mercancías a nuestro país; en caso no se conozca el valor de estos conceptos, se aplicará las tarifas de flete normalmente aplicables y la Tabla Porcentaje Promedio de Seguro. Cuando no se conozcan las tarifas de fletes mencionadas, para su cálculo se aplicará el 10% del valor estimado de la mercancía, de acuerdo con las reglas establecidas en el presente literal.</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lastRenderedPageBreak/>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Para efectos del literal a) del Artículo 16º de la Ley se considerará como base imponible el valor CIF.</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b) Mercancías referidas en el literal b) del Artículo 16º de la Ley:</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(i) El valor de exportación más alto de una mercancía idéntica o, en su defecto, similar a la que es objeto de avalúo, registrada en el Sistema de la Administración Aduanera o en otras fuentes con las que cuente.</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w:t>
      </w:r>
      <w:proofErr w:type="spellStart"/>
      <w:r>
        <w:rPr>
          <w:rFonts w:ascii="Arial" w:hAnsi="Arial" w:cs="Arial"/>
          <w:sz w:val="21"/>
          <w:szCs w:val="21"/>
        </w:rPr>
        <w:t>ii</w:t>
      </w:r>
      <w:proofErr w:type="spellEnd"/>
      <w:r>
        <w:rPr>
          <w:rFonts w:ascii="Arial" w:hAnsi="Arial" w:cs="Arial"/>
          <w:sz w:val="21"/>
          <w:szCs w:val="21"/>
        </w:rPr>
        <w:t>) El valor más alto de una mercancía idéntica o similar nacional o nacionalizada comercializada en el mercado interno, al que debe agregarse los conceptos que normalmente incluye un valor FOB.</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Para efectos de lo dispuesto en el presente artículo, se entiende por mercancía similar aquella que tenga características, finalidad, función o aplicación más coincidente, y que puede ser identificada como sustituto o intercambiable de la mercancía objeto de delito o infracción administrativa.</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Artículo 7º.- Fecha de constatación</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La fecha de constatación de la comisión del delito o de la infracción administrativa a que se refieren los Artículos 15º, 17º y 18º de la Ley, será la fecha de la formulación del Acta de Incautación correspondiente.</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b/>
          <w:bCs/>
          <w:sz w:val="21"/>
          <w:szCs w:val="21"/>
        </w:rPr>
        <w:t>Artículo 8º.-</w:t>
      </w:r>
      <w:r>
        <w:rPr>
          <w:rFonts w:ascii="Arial" w:hAnsi="Arial" w:cs="Arial"/>
          <w:sz w:val="21"/>
          <w:szCs w:val="21"/>
        </w:rPr>
        <w:t xml:space="preserve"> </w:t>
      </w:r>
      <w:r>
        <w:rPr>
          <w:rFonts w:ascii="Arial" w:hAnsi="Arial" w:cs="Arial"/>
          <w:b/>
          <w:bCs/>
          <w:sz w:val="21"/>
          <w:szCs w:val="21"/>
        </w:rPr>
        <w:t>Base imponible y tipo de cambio</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La base imponible será expresada en dólares de los Estados Unidos de América y se determinará conforme a las reglas señaladas en el presente Reglamento.</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El tipo de cambio será el de venta vigente a la fecha de la comisión del delito o de la infracción administrativa. En caso de no poder precisarse ésta, se considerará la fecha de su constatación.</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b/>
          <w:bCs/>
          <w:sz w:val="21"/>
          <w:szCs w:val="21"/>
        </w:rPr>
        <w:t>Artículo 9º.-</w:t>
      </w:r>
      <w:r>
        <w:rPr>
          <w:rFonts w:ascii="Arial" w:hAnsi="Arial" w:cs="Arial"/>
          <w:sz w:val="21"/>
          <w:szCs w:val="21"/>
        </w:rPr>
        <w:t xml:space="preserve"> </w:t>
      </w:r>
      <w:r>
        <w:rPr>
          <w:rFonts w:ascii="Arial" w:hAnsi="Arial" w:cs="Arial"/>
          <w:b/>
          <w:bCs/>
          <w:sz w:val="21"/>
          <w:szCs w:val="21"/>
        </w:rPr>
        <w:t>Tributos y cancelación</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Para los fines a que se contrae el Artículo 18° de la Ley se aplicarán las alícuotas y los tributos o derechos antidumping o compensatorios que gravarían o sancionarían la importación de la mercancía que es objeto materia del Delito Aduanero o de la Infracción Administrativa. Su cancelación sólo se hará en moneda nacional al tipo de cambio venta de la fecha de pago.</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jc w:val="center"/>
        <w:rPr>
          <w:rFonts w:ascii="Arial" w:hAnsi="Arial" w:cs="Arial"/>
          <w:b/>
          <w:bCs/>
          <w:sz w:val="21"/>
          <w:szCs w:val="21"/>
        </w:rPr>
      </w:pPr>
      <w:bookmarkStart w:id="3" w:name="CAPITULOIV"/>
      <w:r>
        <w:rPr>
          <w:rFonts w:ascii="Arial" w:hAnsi="Arial" w:cs="Arial"/>
          <w:b/>
          <w:bCs/>
          <w:sz w:val="21"/>
          <w:szCs w:val="21"/>
        </w:rPr>
        <w:t>CAPITULO IV</w:t>
      </w:r>
      <w:bookmarkEnd w:id="3"/>
    </w:p>
    <w:p w:rsidR="007D3B1F" w:rsidRDefault="007D3B1F" w:rsidP="007D3B1F">
      <w:pPr>
        <w:pStyle w:val="NormalWeb"/>
        <w:spacing w:before="0" w:beforeAutospacing="0" w:after="0" w:afterAutospacing="0"/>
        <w:jc w:val="center"/>
        <w:rPr>
          <w:rFonts w:ascii="Arial" w:hAnsi="Arial" w:cs="Arial"/>
          <w:b/>
          <w:bCs/>
          <w:sz w:val="21"/>
          <w:szCs w:val="21"/>
        </w:rPr>
      </w:pPr>
      <w:r>
        <w:rPr>
          <w:rFonts w:ascii="Arial" w:hAnsi="Arial" w:cs="Arial"/>
          <w:b/>
          <w:bCs/>
          <w:sz w:val="21"/>
          <w:szCs w:val="21"/>
        </w:rPr>
        <w:t>PROCESO</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Artículo 10º.- Acciones administrativas en el delito de Defraudación de Rentas de Aduana</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Para efecto de lo dispuesto en el último párrafo del Artículo 19º de la Ley, cuando la Administración Aduanera detecte indicios sustentados del delito previsto en los Artículos 4º y 5º de la Ley, detendrá el despacho de las mercancías, realizará las acciones administrativas correspondientes y el cálculo del posible perjuicio fiscal, de acuerdo a las reglas de determinación del valor establecidas en el Artículo 6º según corresponda.</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Artículo 11º.- Prueba pericial</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xml:space="preserve">Los Informes técnicos o contables emitidos por los funcionarios de la Administración Aduanera se sustentan en las acciones administrativas realizadas sobre la base de las facultades </w:t>
      </w:r>
      <w:r>
        <w:rPr>
          <w:rFonts w:ascii="Arial" w:hAnsi="Arial" w:cs="Arial"/>
          <w:sz w:val="21"/>
          <w:szCs w:val="21"/>
        </w:rPr>
        <w:lastRenderedPageBreak/>
        <w:t>conferidas en la legislación aduanera y el Código Tributario y tienen valor probatorio de pericia de parte.</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b/>
          <w:bCs/>
          <w:sz w:val="21"/>
          <w:szCs w:val="21"/>
        </w:rPr>
        <w:t>Artículo 12º.- Cobro del adeudo y aplicación de sanciones administrativas por delito de Defraudación de Rentas de Aduana</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Las penas por Delito de Defraudación de Rentas de Aduana se aplicarán sin perjuicio del cobro del adeudo o del monto de los beneficios tributarios percibidos indebidamente y de las sanciones administrativas a que hubiere lugar</w:t>
      </w:r>
      <w:r>
        <w:rPr>
          <w:rFonts w:ascii="Arial" w:hAnsi="Arial" w:cs="Arial"/>
          <w:b/>
          <w:bCs/>
          <w:sz w:val="21"/>
          <w:szCs w:val="21"/>
        </w:rPr>
        <w:t>.</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jc w:val="center"/>
        <w:rPr>
          <w:rFonts w:ascii="Arial" w:hAnsi="Arial" w:cs="Arial"/>
          <w:b/>
          <w:bCs/>
          <w:sz w:val="21"/>
          <w:szCs w:val="21"/>
        </w:rPr>
      </w:pPr>
      <w:bookmarkStart w:id="4" w:name="CAPITULOV"/>
      <w:r>
        <w:rPr>
          <w:rFonts w:ascii="Arial" w:hAnsi="Arial" w:cs="Arial"/>
          <w:b/>
          <w:bCs/>
          <w:sz w:val="21"/>
          <w:szCs w:val="21"/>
        </w:rPr>
        <w:t>CAPITULO V</w:t>
      </w:r>
      <w:bookmarkEnd w:id="4"/>
    </w:p>
    <w:p w:rsidR="007D3B1F" w:rsidRDefault="007D3B1F" w:rsidP="007D3B1F">
      <w:pPr>
        <w:pStyle w:val="NormalWeb"/>
        <w:spacing w:before="0" w:beforeAutospacing="0" w:after="0" w:afterAutospacing="0"/>
        <w:jc w:val="center"/>
        <w:rPr>
          <w:rFonts w:ascii="Arial" w:hAnsi="Arial" w:cs="Arial"/>
          <w:b/>
          <w:bCs/>
          <w:sz w:val="21"/>
          <w:szCs w:val="21"/>
        </w:rPr>
      </w:pPr>
      <w:r>
        <w:rPr>
          <w:rFonts w:ascii="Arial" w:hAnsi="Arial" w:cs="Arial"/>
          <w:b/>
          <w:bCs/>
          <w:sz w:val="21"/>
          <w:szCs w:val="21"/>
        </w:rPr>
        <w:t>ADJUDICACION, DESTRUCCION Y RECOMPENSA</w:t>
      </w:r>
    </w:p>
    <w:p w:rsidR="007D3B1F" w:rsidRDefault="007D3B1F" w:rsidP="007D3B1F">
      <w:pPr>
        <w:pStyle w:val="NormalWeb"/>
        <w:spacing w:before="0" w:beforeAutospacing="0" w:after="0" w:afterAutospacing="0"/>
        <w:jc w:val="center"/>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Artículo 13º.- Destrucción de Mercancías</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La destrucción inmediata de las mercancías incautadas a que se refiere el Artículo 24º de la Ley, estará en función a la naturaleza y cantidad de las mismas, debiendo efectuarse en acto público con conocimiento del Fiscal o del Juez que conoce la causa.</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Tratándose de mercancías que requieren del informe del Sector correspondiente, éste deberá ser remitido, bajo responsabilidad a la Administración Aduanera en un plazo máximo de cinco (05) días hábiles, contados a partir del día siguiente del requerimiento realizado por la Administración Aduanera. Vencido este plazo, sin que el Sector correspondiente remita el citado informe, la Administración Aduanera procederá a su destrucción.</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Artículo 14º.- Adjudicación de Mercancías</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La Administración Aduanera previa constatación de su estado por la autoridad competente podrá adjudicar en forma directa las mercancías a que se refiere el inciso a) del artículo 25º de la Ley a partir de la fecha de publicación del dispositivo legal que declare el estado de emergencia, urgencia o necesidad nacional.</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Asimismo, previa constatación de su estado por la autoridad competente podrá adjudicar en forma directa los alimentos y medicamentos de consumo y uso humano, así como los medicamentos de uso veterinario, detallados en los incisos b), c) y d) del artículo 25º de la Ley dentro del plazo de diez (10) días hábiles contados a partir de la fecha de efectuada la citada constatación.</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xml:space="preserve">Tratándose de otras mercancías señaladas en el artículo 25º de la Ley, la adjudicación sólo se podrá efectuar una vez dictado el auto </w:t>
      </w:r>
      <w:proofErr w:type="spellStart"/>
      <w:r>
        <w:rPr>
          <w:rFonts w:ascii="Arial" w:hAnsi="Arial" w:cs="Arial"/>
          <w:sz w:val="21"/>
          <w:szCs w:val="21"/>
        </w:rPr>
        <w:t>apertorio</w:t>
      </w:r>
      <w:proofErr w:type="spellEnd"/>
      <w:r>
        <w:rPr>
          <w:rFonts w:ascii="Arial" w:hAnsi="Arial" w:cs="Arial"/>
          <w:sz w:val="21"/>
          <w:szCs w:val="21"/>
        </w:rPr>
        <w:t xml:space="preserve"> de instrucción.</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b/>
          <w:bCs/>
          <w:i/>
          <w:iCs/>
          <w:sz w:val="21"/>
          <w:szCs w:val="21"/>
        </w:rPr>
      </w:pPr>
      <w:r>
        <w:rPr>
          <w:rFonts w:ascii="Arial" w:hAnsi="Arial" w:cs="Arial"/>
          <w:sz w:val="21"/>
          <w:szCs w:val="21"/>
        </w:rPr>
        <w:t xml:space="preserve">En estos casos la Administración Aduanera debe dar cuenta al Fiscal y al Juez Penal que conoce la causa, de corresponder, y al Contralor General de la República dentro del plazo de diez (10) días hábiles contados a partir del día siguiente de </w:t>
      </w:r>
      <w:proofErr w:type="spellStart"/>
      <w:r>
        <w:rPr>
          <w:rFonts w:ascii="Arial" w:hAnsi="Arial" w:cs="Arial"/>
          <w:sz w:val="21"/>
          <w:szCs w:val="21"/>
        </w:rPr>
        <w:t>recepcionada</w:t>
      </w:r>
      <w:proofErr w:type="spellEnd"/>
      <w:r>
        <w:rPr>
          <w:rFonts w:ascii="Arial" w:hAnsi="Arial" w:cs="Arial"/>
          <w:sz w:val="21"/>
          <w:szCs w:val="21"/>
        </w:rPr>
        <w:t xml:space="preserve"> la mercancía por la entidad o institución beneficiada por la adjudicación.</w:t>
      </w:r>
      <w:r>
        <w:rPr>
          <w:rFonts w:ascii="Arial" w:hAnsi="Arial" w:cs="Arial"/>
          <w:b/>
          <w:bCs/>
          <w:i/>
          <w:iCs/>
          <w:sz w:val="21"/>
          <w:szCs w:val="21"/>
        </w:rPr>
        <w:t>(*)</w:t>
      </w:r>
    </w:p>
    <w:p w:rsidR="007D3B1F" w:rsidRDefault="007D3B1F" w:rsidP="007D3B1F">
      <w:pPr>
        <w:pStyle w:val="NormalWeb"/>
        <w:spacing w:before="0" w:beforeAutospacing="0" w:after="0" w:afterAutospacing="0"/>
        <w:rPr>
          <w:rFonts w:ascii="Arial" w:hAnsi="Arial" w:cs="Arial"/>
          <w:b/>
          <w:bCs/>
          <w:i/>
          <w:iCs/>
          <w:sz w:val="15"/>
          <w:szCs w:val="15"/>
        </w:rPr>
      </w:pPr>
      <w:r>
        <w:rPr>
          <w:rFonts w:ascii="Arial" w:hAnsi="Arial" w:cs="Arial"/>
          <w:b/>
          <w:bCs/>
          <w:i/>
          <w:iCs/>
          <w:sz w:val="15"/>
          <w:szCs w:val="15"/>
        </w:rPr>
        <w:t> </w:t>
      </w:r>
    </w:p>
    <w:p w:rsidR="007D3B1F" w:rsidRDefault="007D3B1F" w:rsidP="007D3B1F">
      <w:pPr>
        <w:pStyle w:val="NormalWeb"/>
        <w:spacing w:before="0" w:beforeAutospacing="0" w:after="0" w:afterAutospacing="0"/>
        <w:rPr>
          <w:rFonts w:ascii="Arial" w:hAnsi="Arial" w:cs="Arial"/>
          <w:b/>
          <w:bCs/>
          <w:i/>
          <w:iCs/>
          <w:sz w:val="21"/>
          <w:szCs w:val="21"/>
        </w:rPr>
      </w:pPr>
      <w:r>
        <w:rPr>
          <w:rFonts w:ascii="Arial" w:hAnsi="Arial" w:cs="Arial"/>
          <w:b/>
          <w:bCs/>
          <w:i/>
          <w:iCs/>
          <w:sz w:val="21"/>
          <w:szCs w:val="21"/>
        </w:rPr>
        <w:t xml:space="preserve">(*) </w:t>
      </w:r>
      <w:hyperlink r:id="rId4" w:tgtFrame="_self" w:history="1">
        <w:r>
          <w:rPr>
            <w:rStyle w:val="Hipervnculo"/>
            <w:rFonts w:cs="Arial"/>
            <w:i/>
            <w:iCs/>
          </w:rPr>
          <w:t>Artículo sustituido por Decreto Supremo Nº 009-2005-EF del 26.01.2005</w:t>
        </w:r>
      </w:hyperlink>
    </w:p>
    <w:p w:rsidR="007D3B1F" w:rsidRDefault="007D3B1F" w:rsidP="007D3B1F">
      <w:pPr>
        <w:pStyle w:val="NormalWeb"/>
        <w:spacing w:before="0" w:beforeAutospacing="0" w:after="0" w:afterAutospacing="0"/>
        <w:rPr>
          <w:rFonts w:ascii="Arial" w:hAnsi="Arial" w:cs="Arial"/>
          <w:b/>
          <w:bCs/>
          <w:i/>
          <w:iCs/>
          <w:sz w:val="15"/>
          <w:szCs w:val="15"/>
        </w:rPr>
      </w:pPr>
      <w:r>
        <w:rPr>
          <w:rFonts w:ascii="Arial" w:hAnsi="Arial" w:cs="Arial"/>
          <w:b/>
          <w:bCs/>
          <w:i/>
          <w:iCs/>
          <w:sz w:val="15"/>
          <w:szCs w:val="15"/>
        </w:rPr>
        <w:t> </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Artículo 15º.- Constatación previa de la mercancía a adjudicar</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Para efectos de la aplicación del segundo párrafo del Artículo 25º de la Ley, la autoridad competente efectuará la constatación de la mercancía dentro del plazo perentorio de cinco (05) días de habérsele puesto en conocimiento; de encontrarse ésta en mal estado la Administración Aduanera procederá de conformidad a lo señalado en el Artículo 13º.</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b/>
          <w:bCs/>
          <w:sz w:val="21"/>
          <w:szCs w:val="21"/>
        </w:rPr>
        <w:t>Artículo 16º.-</w:t>
      </w:r>
      <w:r>
        <w:rPr>
          <w:rFonts w:ascii="Arial" w:hAnsi="Arial" w:cs="Arial"/>
          <w:sz w:val="21"/>
          <w:szCs w:val="21"/>
        </w:rPr>
        <w:t xml:space="preserve"> </w:t>
      </w:r>
      <w:r>
        <w:rPr>
          <w:rFonts w:ascii="Arial" w:hAnsi="Arial" w:cs="Arial"/>
          <w:b/>
          <w:bCs/>
          <w:sz w:val="21"/>
          <w:szCs w:val="21"/>
        </w:rPr>
        <w:t>Adjudicación de naves y aeronaves</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lastRenderedPageBreak/>
        <w:t>Consentida o ejecutoriada la sentencia condenatoria la Administración Aduanera adjudicará a favor del Estado las naves y aeronaves, así como sus partes y piezas, debiendo comunicar el hecho al Juez Penal que conoció la causa, dentro del plazo de cinco días hábiles contados a partir del día siguiente de la fecha de la adjudicación.</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Artículo 17º.- Denunciante</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El denunciante debe manifestar su voluntad de acogerse a la recompensa al momento de formular la denuncia. No tendrá la condición de denunciante ni podrá recibir recompensa, quien ha tenido la condición de autor o partícipe en el delito materia de denuncia.</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b/>
          <w:bCs/>
          <w:sz w:val="21"/>
          <w:szCs w:val="21"/>
        </w:rPr>
        <w:t>Artículo 18º.-</w:t>
      </w:r>
      <w:r>
        <w:rPr>
          <w:rFonts w:ascii="Arial" w:hAnsi="Arial" w:cs="Arial"/>
          <w:sz w:val="21"/>
          <w:szCs w:val="21"/>
        </w:rPr>
        <w:t xml:space="preserve"> </w:t>
      </w:r>
      <w:r>
        <w:rPr>
          <w:rFonts w:ascii="Arial" w:hAnsi="Arial" w:cs="Arial"/>
          <w:b/>
          <w:bCs/>
          <w:sz w:val="21"/>
          <w:szCs w:val="21"/>
        </w:rPr>
        <w:t>Monto de la Recompensa</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El monto de la recompensa ascenderá al 20% del valor de la mercancía objeto del delito, determinado de acuerdo a lo establecido en el Artículo 6º.</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Tratándose de los delitos tipificados en los literales b) y c) del Artículo 5º de la Ley, el monto de la recompensa ascenderá al 10% del monto indebidamente restituido o del monto dejado de pagar.</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En los casos de sentencias que amparen la terminación anticipada del proceso, se procederá a la distribución de los fondos obtenidos de conformidad con lo señalado en el Artículo 20º de la Ley.</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La recompensa para el denunciante será determinada en la sentencia condenatoria o en la sentencia que ampare la terminación anticipada del proceso, en cuyo mérito el denunciante podrá solicitarlo a la Dirección General del Tesoro Público.</w:t>
      </w:r>
    </w:p>
    <w:p w:rsidR="007D3B1F" w:rsidRDefault="007D3B1F" w:rsidP="007D3B1F">
      <w:pPr>
        <w:pStyle w:val="NormalWeb"/>
        <w:spacing w:before="0" w:beforeAutospacing="0" w:after="0" w:afterAutospacing="0"/>
        <w:jc w:val="center"/>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jc w:val="center"/>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jc w:val="center"/>
        <w:rPr>
          <w:rFonts w:ascii="Arial" w:hAnsi="Arial" w:cs="Arial"/>
          <w:b/>
          <w:bCs/>
          <w:sz w:val="21"/>
          <w:szCs w:val="21"/>
        </w:rPr>
      </w:pPr>
      <w:bookmarkStart w:id="5" w:name="CAPITULOVI"/>
      <w:r>
        <w:rPr>
          <w:rFonts w:ascii="Arial" w:hAnsi="Arial" w:cs="Arial"/>
          <w:b/>
          <w:bCs/>
          <w:sz w:val="21"/>
          <w:szCs w:val="21"/>
        </w:rPr>
        <w:t>CAPITULO VI</w:t>
      </w:r>
      <w:bookmarkEnd w:id="5"/>
    </w:p>
    <w:p w:rsidR="007D3B1F" w:rsidRDefault="007D3B1F" w:rsidP="007D3B1F">
      <w:pPr>
        <w:pStyle w:val="NormalWeb"/>
        <w:spacing w:before="0" w:beforeAutospacing="0" w:after="0" w:afterAutospacing="0"/>
        <w:jc w:val="center"/>
        <w:rPr>
          <w:rFonts w:ascii="Arial" w:hAnsi="Arial" w:cs="Arial"/>
          <w:b/>
          <w:bCs/>
          <w:sz w:val="21"/>
          <w:szCs w:val="21"/>
        </w:rPr>
      </w:pPr>
      <w:r>
        <w:rPr>
          <w:rFonts w:ascii="Arial" w:hAnsi="Arial" w:cs="Arial"/>
          <w:b/>
          <w:bCs/>
          <w:sz w:val="21"/>
          <w:szCs w:val="21"/>
        </w:rPr>
        <w:t>INFRACCION ADMINISTRATIVA</w:t>
      </w:r>
    </w:p>
    <w:p w:rsidR="007D3B1F" w:rsidRDefault="007D3B1F" w:rsidP="007D3B1F">
      <w:pPr>
        <w:pStyle w:val="NormalWeb"/>
        <w:spacing w:before="0" w:beforeAutospacing="0" w:after="0" w:afterAutospacing="0"/>
        <w:jc w:val="center"/>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Artículo 19º.- Facultad sancionadora de la Administración Aduanera y valor de la Unidad Impositiva Tributaria</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La Administración Aduanera es la autoridad competente para determinar y sancionar la infracción administrativa.</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El valor de la Unidad Impositiva Tributaria aplicable a la infracción administrativa es el establecido al 1 de enero del año del ejercicio fiscal en que se cometió la infracción, de no poder precisarse ésta, a la fecha de su constatación.</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b/>
          <w:bCs/>
          <w:sz w:val="21"/>
          <w:szCs w:val="21"/>
        </w:rPr>
        <w:t>Artículo 20º.-</w:t>
      </w:r>
      <w:r>
        <w:rPr>
          <w:rFonts w:ascii="Arial" w:hAnsi="Arial" w:cs="Arial"/>
          <w:sz w:val="21"/>
          <w:szCs w:val="21"/>
        </w:rPr>
        <w:t xml:space="preserve"> </w:t>
      </w:r>
      <w:r>
        <w:rPr>
          <w:rFonts w:ascii="Arial" w:hAnsi="Arial" w:cs="Arial"/>
          <w:b/>
          <w:bCs/>
          <w:sz w:val="21"/>
          <w:szCs w:val="21"/>
        </w:rPr>
        <w:t>Incautación de mercancías por infracción administrativa</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De conformidad con lo dispuesto en el Artículo 34º de la Ley, cualquier otra autoridad que incaute mercancías, procederá a entregarlas a la Intendencia de Aduana más cercana al lugar donde se efectuó la incautación, bajo responsabilidad, en el plazo de tres (03) días hábiles contados a partir de la incautación.</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b/>
          <w:bCs/>
          <w:sz w:val="21"/>
          <w:szCs w:val="21"/>
        </w:rPr>
        <w:t>Artículo 21º.-</w:t>
      </w:r>
      <w:r>
        <w:rPr>
          <w:rFonts w:ascii="Arial" w:hAnsi="Arial" w:cs="Arial"/>
          <w:sz w:val="21"/>
          <w:szCs w:val="21"/>
        </w:rPr>
        <w:t xml:space="preserve"> </w:t>
      </w:r>
      <w:r>
        <w:rPr>
          <w:rFonts w:ascii="Arial" w:hAnsi="Arial" w:cs="Arial"/>
          <w:b/>
          <w:bCs/>
          <w:sz w:val="21"/>
          <w:szCs w:val="21"/>
        </w:rPr>
        <w:t>Disposición de Mercancías por infracción administrativa</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Las mercancías comisadas que constituyan objeto material de la infracción administrativa serán dispuestas por la Administración Aduanera, de conformidad con lo establecido en la Ley General de Aduanas.</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jc w:val="center"/>
        <w:rPr>
          <w:rFonts w:ascii="Arial" w:hAnsi="Arial" w:cs="Arial"/>
          <w:b/>
          <w:bCs/>
          <w:sz w:val="21"/>
          <w:szCs w:val="21"/>
        </w:rPr>
      </w:pPr>
      <w:bookmarkStart w:id="6" w:name="CAPITULOVII"/>
      <w:r>
        <w:rPr>
          <w:rFonts w:ascii="Arial" w:hAnsi="Arial" w:cs="Arial"/>
          <w:b/>
          <w:bCs/>
          <w:sz w:val="21"/>
          <w:szCs w:val="21"/>
        </w:rPr>
        <w:t>CAPITULO VII</w:t>
      </w:r>
      <w:bookmarkEnd w:id="6"/>
    </w:p>
    <w:p w:rsidR="007D3B1F" w:rsidRDefault="007D3B1F" w:rsidP="007D3B1F">
      <w:pPr>
        <w:pStyle w:val="NormalWeb"/>
        <w:spacing w:before="0" w:beforeAutospacing="0" w:after="0" w:afterAutospacing="0"/>
        <w:jc w:val="center"/>
        <w:rPr>
          <w:rFonts w:ascii="Arial" w:hAnsi="Arial" w:cs="Arial"/>
          <w:b/>
          <w:bCs/>
          <w:sz w:val="21"/>
          <w:szCs w:val="21"/>
        </w:rPr>
      </w:pPr>
      <w:r>
        <w:rPr>
          <w:rFonts w:ascii="Arial" w:hAnsi="Arial" w:cs="Arial"/>
          <w:b/>
          <w:bCs/>
          <w:sz w:val="21"/>
          <w:szCs w:val="21"/>
        </w:rPr>
        <w:t>SANCIONES RESPECTO DE LAS PERSONAS QUE TRANSPORTAN MERCANCIAS</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lastRenderedPageBreak/>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b/>
          <w:bCs/>
          <w:sz w:val="21"/>
          <w:szCs w:val="21"/>
        </w:rPr>
        <w:t>Artículo 22º.-</w:t>
      </w:r>
      <w:r>
        <w:rPr>
          <w:rFonts w:ascii="Arial" w:hAnsi="Arial" w:cs="Arial"/>
          <w:sz w:val="21"/>
          <w:szCs w:val="21"/>
        </w:rPr>
        <w:t xml:space="preserve"> </w:t>
      </w:r>
      <w:r>
        <w:rPr>
          <w:rFonts w:ascii="Arial" w:hAnsi="Arial" w:cs="Arial"/>
          <w:b/>
          <w:bCs/>
          <w:sz w:val="21"/>
          <w:szCs w:val="21"/>
        </w:rPr>
        <w:t>Internamiento del medio de transporte</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Los vehículos de las personas incursas en las sanciones señaladas en el Artículo 41º de la Ley, serán remitidos por la autoridad interviniente a los depósitos del Ministerio de Transportes y Comunicaciones, asimismo pondrá dicho acto en conocimiento del Intendente de Aduana de la jurisdicción, a efecto del procedimiento y registros aplicables.</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La Administración Aduanera en el momento de la intervención retendrá la licencia de conducir a las personas que transportan mercancías vinculadas a la infracción administrativa y la remitirá al Ministerio de Transportes y Comunicaciones en un plazo que no excederá de los tres (3) días hábiles contados a partir del día siguiente a aquél en el que se realizó la retención, para la suspensión y registro de antecedentes a que se refiere el artículo 39º de la Ley.</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jc w:val="center"/>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jc w:val="center"/>
        <w:rPr>
          <w:rFonts w:ascii="Arial" w:hAnsi="Arial" w:cs="Arial"/>
          <w:b/>
          <w:bCs/>
          <w:sz w:val="21"/>
          <w:szCs w:val="21"/>
        </w:rPr>
      </w:pPr>
      <w:bookmarkStart w:id="7" w:name="CAPITULOVIII"/>
      <w:r>
        <w:rPr>
          <w:rFonts w:ascii="Arial" w:hAnsi="Arial" w:cs="Arial"/>
          <w:b/>
          <w:bCs/>
          <w:sz w:val="21"/>
          <w:szCs w:val="21"/>
        </w:rPr>
        <w:t>CAPITULO VIII</w:t>
      </w:r>
      <w:bookmarkEnd w:id="7"/>
    </w:p>
    <w:p w:rsidR="007D3B1F" w:rsidRDefault="007D3B1F" w:rsidP="007D3B1F">
      <w:pPr>
        <w:pStyle w:val="NormalWeb"/>
        <w:spacing w:before="0" w:beforeAutospacing="0" w:after="0" w:afterAutospacing="0"/>
        <w:jc w:val="center"/>
        <w:rPr>
          <w:rFonts w:ascii="Arial" w:hAnsi="Arial" w:cs="Arial"/>
          <w:b/>
          <w:bCs/>
          <w:sz w:val="21"/>
          <w:szCs w:val="21"/>
        </w:rPr>
      </w:pPr>
      <w:r>
        <w:rPr>
          <w:rFonts w:ascii="Arial" w:hAnsi="Arial" w:cs="Arial"/>
          <w:b/>
          <w:bCs/>
          <w:sz w:val="21"/>
          <w:szCs w:val="21"/>
        </w:rPr>
        <w:t>SANCIONES RESPECTO DEL ALMACENAMIENTO Y COMERCIALIZACION</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rPr>
          <w:rFonts w:ascii="Arial" w:hAnsi="Arial" w:cs="Arial"/>
          <w:sz w:val="21"/>
          <w:szCs w:val="21"/>
        </w:rPr>
      </w:pPr>
      <w:proofErr w:type="spellStart"/>
      <w:proofErr w:type="gramStart"/>
      <w:r>
        <w:rPr>
          <w:rFonts w:ascii="Arial" w:hAnsi="Arial" w:cs="Arial"/>
          <w:b/>
          <w:bCs/>
          <w:sz w:val="21"/>
          <w:szCs w:val="21"/>
        </w:rPr>
        <w:t>rtículo</w:t>
      </w:r>
      <w:proofErr w:type="spellEnd"/>
      <w:proofErr w:type="gramEnd"/>
      <w:r>
        <w:rPr>
          <w:rFonts w:ascii="Arial" w:hAnsi="Arial" w:cs="Arial"/>
          <w:b/>
          <w:bCs/>
          <w:sz w:val="21"/>
          <w:szCs w:val="21"/>
        </w:rPr>
        <w:t xml:space="preserve"> 23º.-</w:t>
      </w:r>
      <w:r>
        <w:rPr>
          <w:rFonts w:ascii="Arial" w:hAnsi="Arial" w:cs="Arial"/>
          <w:sz w:val="21"/>
          <w:szCs w:val="21"/>
        </w:rPr>
        <w:t xml:space="preserve"> </w:t>
      </w:r>
      <w:r>
        <w:rPr>
          <w:rFonts w:ascii="Arial" w:hAnsi="Arial" w:cs="Arial"/>
          <w:b/>
          <w:bCs/>
          <w:sz w:val="21"/>
          <w:szCs w:val="21"/>
        </w:rPr>
        <w:t>Cierre definitivo de establecimiento</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La Administración Aduanera deberá comunicar al organismo competente para que proceda al cierre definitivo del establecimiento y la consiguiente cancelación de la licencia o autorización de funcionamiento, cuando se incumplan las obligaciones impuestas durante el cierre temporal.</w:t>
      </w:r>
    </w:p>
    <w:p w:rsidR="007D3B1F" w:rsidRDefault="007D3B1F" w:rsidP="007D3B1F">
      <w:pPr>
        <w:pStyle w:val="NormalWeb"/>
        <w:spacing w:before="0" w:beforeAutospacing="0" w:after="0" w:afterAutospacing="0"/>
        <w:jc w:val="center"/>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jc w:val="center"/>
        <w:rPr>
          <w:rFonts w:ascii="Arial" w:hAnsi="Arial" w:cs="Arial"/>
          <w:b/>
          <w:bCs/>
          <w:sz w:val="21"/>
          <w:szCs w:val="21"/>
        </w:rPr>
      </w:pPr>
      <w:r>
        <w:rPr>
          <w:rFonts w:ascii="Arial" w:hAnsi="Arial" w:cs="Arial"/>
          <w:b/>
          <w:bCs/>
          <w:sz w:val="21"/>
          <w:szCs w:val="21"/>
        </w:rPr>
        <w:t>DISPOSICIONES FINALES</w:t>
      </w:r>
    </w:p>
    <w:p w:rsidR="007D3B1F" w:rsidRDefault="007D3B1F" w:rsidP="007D3B1F">
      <w:pPr>
        <w:pStyle w:val="NormalWeb"/>
        <w:spacing w:before="0" w:beforeAutospacing="0" w:after="0" w:afterAutospacing="0"/>
        <w:jc w:val="center"/>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b/>
          <w:bCs/>
          <w:sz w:val="21"/>
          <w:szCs w:val="21"/>
        </w:rPr>
        <w:t>Primera.-</w:t>
      </w:r>
      <w:r>
        <w:rPr>
          <w:rFonts w:ascii="Arial" w:hAnsi="Arial" w:cs="Arial"/>
          <w:sz w:val="21"/>
          <w:szCs w:val="21"/>
        </w:rPr>
        <w:t xml:space="preserve"> Si de la investigación realizada por el Ministerio Público se concluye la no existencia de delito, corresponde a la Administración Aduanera la devolución de la mercancía previa verificación si se trata de mercancía nacional o si fue nacionalizada cumpliendo con las formalidades legales y el pago de los tributos.</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b/>
          <w:bCs/>
          <w:sz w:val="21"/>
          <w:szCs w:val="21"/>
        </w:rPr>
        <w:t xml:space="preserve">Segunda.- </w:t>
      </w:r>
      <w:r>
        <w:rPr>
          <w:rFonts w:ascii="Arial" w:hAnsi="Arial" w:cs="Arial"/>
          <w:sz w:val="21"/>
          <w:szCs w:val="21"/>
        </w:rPr>
        <w:t>Para la mejor aplicación y control de las sanciones establecidas en los Artículos 3º, 36º, 37º, 39º, 40º, 41º, 42º y 43º de la Ley, la Administración Aduanera llevará un Registro denominado "Sanciones: Ley Nº 28008", el mismo que estará a disposición del Ministerio de Economía y Finanzas.</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b/>
          <w:bCs/>
          <w:sz w:val="21"/>
          <w:szCs w:val="21"/>
        </w:rPr>
        <w:t>Tercera.-</w:t>
      </w:r>
      <w:r>
        <w:rPr>
          <w:rFonts w:ascii="Arial" w:hAnsi="Arial" w:cs="Arial"/>
          <w:sz w:val="21"/>
          <w:szCs w:val="21"/>
        </w:rPr>
        <w:t xml:space="preserve"> La Administración Aduanera, con una anticipación no menor de 10 días hábiles a la fecha prevista para la adjudicación o para la destrucción de las mercancías, deberá poner en conocimiento de la Dirección General del Tesoro Público el monto que sea necesario para el pago indicado en el Artículo 27º de la Ley o el monto que corresponda al denunciante de acuerdo al Artículo 31º de la Ley, a fin que dicha Dirección General adopte las previsiones que correspondan y dicte las directivas que resulten necesarias.</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b/>
          <w:bCs/>
          <w:sz w:val="21"/>
          <w:szCs w:val="21"/>
        </w:rPr>
        <w:t xml:space="preserve">Cuarta.- </w:t>
      </w:r>
      <w:r>
        <w:rPr>
          <w:rFonts w:ascii="Arial" w:hAnsi="Arial" w:cs="Arial"/>
          <w:sz w:val="21"/>
          <w:szCs w:val="21"/>
        </w:rPr>
        <w:t>La Superintendencia Nacional de Administración Tributaria, el Ministerio del Interior y el Ministerio de Defensa deberán establecer los canales de coordinación y el procedimiento necesario para la participación de las Fuerzas Armadas cuando así lo requiera la naturaleza de la acción o la zona donde ésta se debe realizar.</w:t>
      </w:r>
    </w:p>
    <w:p w:rsidR="007D3B1F" w:rsidRDefault="007D3B1F" w:rsidP="007D3B1F">
      <w:pPr>
        <w:pStyle w:val="NormalWeb"/>
        <w:spacing w:before="0" w:beforeAutospacing="0" w:after="0" w:afterAutospacing="0"/>
        <w:rPr>
          <w:rFonts w:ascii="Arial" w:hAnsi="Arial" w:cs="Arial"/>
          <w:b/>
          <w:bCs/>
          <w:sz w:val="21"/>
          <w:szCs w:val="21"/>
        </w:rPr>
      </w:pPr>
      <w:r>
        <w:rPr>
          <w:rFonts w:ascii="Arial" w:hAnsi="Arial" w:cs="Arial"/>
          <w:b/>
          <w:bCs/>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b/>
          <w:bCs/>
          <w:sz w:val="21"/>
          <w:szCs w:val="21"/>
        </w:rPr>
        <w:t>Quinta.-</w:t>
      </w:r>
      <w:r>
        <w:rPr>
          <w:rFonts w:ascii="Arial" w:hAnsi="Arial" w:cs="Arial"/>
          <w:sz w:val="21"/>
          <w:szCs w:val="21"/>
        </w:rPr>
        <w:t xml:space="preserve"> La Administración Aduanera dictará las normas que resulten necesarias para la mejor aplicación de lo dispuesto en el presente Reglamento.</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7D3B1F" w:rsidRDefault="007D3B1F" w:rsidP="007D3B1F">
      <w:pPr>
        <w:pStyle w:val="NormalWeb"/>
        <w:spacing w:before="0" w:beforeAutospacing="0" w:after="0" w:afterAutospacing="0"/>
        <w:rPr>
          <w:rFonts w:ascii="Arial" w:hAnsi="Arial" w:cs="Arial"/>
          <w:sz w:val="21"/>
          <w:szCs w:val="21"/>
        </w:rPr>
      </w:pPr>
      <w:r>
        <w:rPr>
          <w:rFonts w:ascii="Arial" w:hAnsi="Arial" w:cs="Arial"/>
          <w:sz w:val="21"/>
          <w:szCs w:val="21"/>
        </w:rPr>
        <w:t> </w:t>
      </w:r>
    </w:p>
    <w:p w:rsidR="00091CDE" w:rsidRDefault="00091CDE"/>
    <w:sectPr w:rsidR="00091CDE" w:rsidSect="00091CD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D3B1F"/>
    <w:rsid w:val="00091CDE"/>
    <w:rsid w:val="00433E84"/>
    <w:rsid w:val="004568F6"/>
    <w:rsid w:val="007D3B1F"/>
    <w:rsid w:val="00856EE2"/>
    <w:rsid w:val="0090205B"/>
    <w:rsid w:val="00A36414"/>
    <w:rsid w:val="00BC2DF4"/>
    <w:rsid w:val="00F5384C"/>
    <w:rsid w:val="00FD1DF8"/>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C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D3B1F"/>
    <w:rPr>
      <w:rFonts w:ascii="Verdana" w:hAnsi="Verdana" w:hint="default"/>
      <w:b w:val="0"/>
      <w:bCs w:val="0"/>
      <w:strike w:val="0"/>
      <w:dstrike w:val="0"/>
      <w:color w:val="000080"/>
      <w:sz w:val="19"/>
      <w:szCs w:val="19"/>
      <w:u w:val="none"/>
      <w:effect w:val="none"/>
    </w:rPr>
  </w:style>
  <w:style w:type="paragraph" w:styleId="NormalWeb">
    <w:name w:val="Normal (Web)"/>
    <w:basedOn w:val="Normal"/>
    <w:uiPriority w:val="99"/>
    <w:unhideWhenUsed/>
    <w:rsid w:val="007D3B1F"/>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nat.gob.pe/legislacion/procedim/normasadua/normasociada/gja-00.09/ctrlCambios/cc-gja-00.09-009_14-26.01.2005.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2720</Words>
  <Characters>14966</Characters>
  <Application>Microsoft Office Word</Application>
  <DocSecurity>0</DocSecurity>
  <Lines>124</Lines>
  <Paragraphs>35</Paragraphs>
  <ScaleCrop>false</ScaleCrop>
  <Company/>
  <LinksUpToDate>false</LinksUpToDate>
  <CharactersWithSpaces>17651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rchumbiauca</dc:creator>
  <cp:lastModifiedBy>rchumbiauca</cp:lastModifiedBy>
  <cp:revision>1</cp:revision>
  <dcterms:created xsi:type="dcterms:W3CDTF">2012-02-15T23:58:00Z</dcterms:created>
  <dcterms:modified xsi:type="dcterms:W3CDTF">2012-02-15T23:58:00Z</dcterms:modified>
</cp:coreProperties>
</file>